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A72C" w14:textId="77777777" w:rsidR="00EB55BD" w:rsidRDefault="00EB55BD"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p>
    <w:p w14:paraId="4E75FC87" w14:textId="77777777" w:rsidR="00EB55BD" w:rsidRDefault="00EB55BD"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p>
    <w:p w14:paraId="1F65B411" w14:textId="77777777" w:rsidR="00152A74" w:rsidRPr="00AF6F1D" w:rsidRDefault="00152A74" w:rsidP="00152A74">
      <w:pPr>
        <w:tabs>
          <w:tab w:val="left" w:pos="900"/>
          <w:tab w:val="left" w:pos="10773"/>
        </w:tabs>
        <w:spacing w:after="0" w:line="240" w:lineRule="auto"/>
        <w:jc w:val="center"/>
        <w:rPr>
          <w:rFonts w:ascii="Arial" w:eastAsia="Times New Roman" w:hAnsi="Arial" w:cs="Arial"/>
          <w:b/>
          <w:color w:val="000000"/>
          <w:sz w:val="20"/>
          <w:szCs w:val="20"/>
          <w:lang w:eastAsia="ru-RU"/>
        </w:rPr>
      </w:pPr>
      <w:r w:rsidRPr="00AF6F1D">
        <w:rPr>
          <w:rFonts w:ascii="Arial" w:eastAsia="Times New Roman" w:hAnsi="Arial" w:cs="Arial"/>
          <w:b/>
          <w:color w:val="000000"/>
          <w:sz w:val="20"/>
          <w:szCs w:val="20"/>
          <w:lang w:eastAsia="ru-RU"/>
        </w:rPr>
        <w:t>PUBLIC OFFER</w:t>
      </w:r>
    </w:p>
    <w:p w14:paraId="1BB9AEAB" w14:textId="77777777" w:rsidR="00EB55BD" w:rsidRPr="00AF6F1D" w:rsidRDefault="00EB55BD" w:rsidP="00EB55BD">
      <w:pPr>
        <w:spacing w:line="240" w:lineRule="auto"/>
        <w:jc w:val="both"/>
        <w:rPr>
          <w:rFonts w:ascii="Arial" w:hAnsi="Arial" w:cs="Arial"/>
          <w:sz w:val="20"/>
          <w:szCs w:val="20"/>
        </w:rPr>
      </w:pPr>
    </w:p>
    <w:p w14:paraId="3D6E9C54" w14:textId="55B04983" w:rsidR="00EB55BD" w:rsidRPr="00AF6F1D" w:rsidRDefault="00EB55BD" w:rsidP="00AF6F1D">
      <w:pPr>
        <w:spacing w:line="240" w:lineRule="auto"/>
        <w:ind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Event organizer - </w:t>
      </w:r>
      <w:r w:rsidRPr="00AF6F1D">
        <w:rPr>
          <w:rFonts w:ascii="Arial" w:hAnsi="Arial" w:cs="Arial"/>
          <w:sz w:val="20"/>
          <w:szCs w:val="20"/>
          <w:lang w:val="en-US"/>
        </w:rPr>
        <w:t>LLP</w:t>
      </w:r>
      <w:r w:rsidRPr="00AF6F1D">
        <w:rPr>
          <w:rFonts w:ascii="Arial" w:hAnsi="Arial" w:cs="Arial"/>
          <w:sz w:val="20"/>
          <w:szCs w:val="20"/>
        </w:rPr>
        <w:t xml:space="preserve"> </w:t>
      </w:r>
      <w:r w:rsidR="004A608E" w:rsidRPr="00AF6F1D">
        <w:rPr>
          <w:rFonts w:ascii="Arial" w:hAnsi="Arial" w:cs="Arial"/>
          <w:sz w:val="20"/>
          <w:szCs w:val="20"/>
          <w:lang w:val="en-US"/>
        </w:rPr>
        <w:t>IBC</w:t>
      </w:r>
      <w:r w:rsidR="004A608E" w:rsidRPr="00AF6F1D">
        <w:rPr>
          <w:rFonts w:ascii="Arial" w:hAnsi="Arial" w:cs="Arial"/>
          <w:sz w:val="20"/>
          <w:szCs w:val="20"/>
        </w:rPr>
        <w:t xml:space="preserve"> </w:t>
      </w:r>
      <w:r w:rsidR="004A608E">
        <w:rPr>
          <w:rFonts w:ascii="Arial" w:hAnsi="Arial" w:cs="Arial"/>
          <w:sz w:val="20"/>
          <w:szCs w:val="20"/>
          <w:lang w:val="en-US"/>
        </w:rPr>
        <w:t>G</w:t>
      </w:r>
      <w:r w:rsidR="004A608E" w:rsidRPr="00AF6F1D">
        <w:rPr>
          <w:rFonts w:ascii="Arial" w:hAnsi="Arial" w:cs="Arial"/>
          <w:sz w:val="20"/>
          <w:szCs w:val="20"/>
          <w:lang w:val="en-US"/>
        </w:rPr>
        <w:t>l</w:t>
      </w:r>
      <w:r w:rsidR="004A608E">
        <w:rPr>
          <w:rFonts w:ascii="Arial" w:hAnsi="Arial" w:cs="Arial"/>
          <w:sz w:val="20"/>
          <w:szCs w:val="20"/>
          <w:lang w:val="en-US"/>
        </w:rPr>
        <w:t>obal</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offers any legal entity and/or individual who has reached the legal age</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in accordance with the legislation of the Republic of Kazakhstan for acceptance of the offer, and</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having the appropriate authority, hereinafter referred to as “Customer / Event Participant”,</w:t>
      </w:r>
      <w:r w:rsidRPr="00AF6F1D">
        <w:rPr>
          <w:rFonts w:ascii="Arial" w:hAnsi="Arial" w:cs="Arial"/>
          <w:sz w:val="20"/>
          <w:szCs w:val="20"/>
        </w:rPr>
        <w:t xml:space="preserve"> </w:t>
      </w:r>
      <w:r w:rsidRPr="00EB55BD">
        <w:rPr>
          <w:rFonts w:ascii="Arial" w:eastAsia="Times New Roman" w:hAnsi="Arial" w:cs="Arial"/>
          <w:color w:val="1A1A1A"/>
          <w:sz w:val="20"/>
          <w:szCs w:val="20"/>
          <w:lang w:eastAsia="ru-RU"/>
        </w:rPr>
        <w:t>conclude an agreement for participation in the event (hereinafter referred to as the Agreement) on the following:</w:t>
      </w:r>
    </w:p>
    <w:p w14:paraId="577023E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In accordance with paragraph 5 of Article 395 of the Civil Code of the Republic of Kazakhstan, in case of acceptance of the conditions set out below and payment for the services of the Event Organizer, the person accepting this Offer becomes the Customer (in accordance with paragraph 3 of Article 396 of the Civil Code of the Republic of Kazakhstan, acceptance of the Offer is equivalent to concluding an agreement on the terms set out in the Offer), and the Event Organizer and the Customer jointly are the Parties to the public offer agreement.</w:t>
      </w:r>
    </w:p>
    <w:p w14:paraId="041EF3A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The event organizer, under the terms of this offer, undertakes to organize the event-Summit. The main event in the field of warehouse real estate in Central Asia. To </w:t>
      </w:r>
      <w:r w:rsidRPr="00AF6F1D">
        <w:rPr>
          <w:rFonts w:ascii="Arial" w:eastAsia="Times New Roman" w:hAnsi="Arial" w:cs="Arial"/>
          <w:color w:val="1A1A1A"/>
          <w:sz w:val="20"/>
          <w:szCs w:val="20"/>
          <w:lang w:eastAsia="ru-RU"/>
        </w:rPr>
        <w:t>discuss current trends, challenges and the future of the warehouse, logistics and trade segments with the participation of leading international and local experts.</w:t>
      </w:r>
    </w:p>
    <w:p w14:paraId="3276C648" w14:textId="2053596B"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Event date: October </w:t>
      </w:r>
      <w:r w:rsidR="004A608E">
        <w:rPr>
          <w:rFonts w:ascii="Arial" w:hAnsi="Arial" w:cs="Arial"/>
          <w:sz w:val="20"/>
          <w:szCs w:val="20"/>
        </w:rPr>
        <w:t>16</w:t>
      </w:r>
      <w:r w:rsidRPr="00AF6F1D">
        <w:rPr>
          <w:rFonts w:ascii="Arial" w:hAnsi="Arial" w:cs="Arial"/>
          <w:sz w:val="20"/>
          <w:szCs w:val="20"/>
        </w:rPr>
        <w:t>, 202</w:t>
      </w:r>
      <w:r w:rsidR="004A608E">
        <w:rPr>
          <w:rFonts w:ascii="Arial" w:hAnsi="Arial" w:cs="Arial"/>
          <w:sz w:val="20"/>
          <w:szCs w:val="20"/>
        </w:rPr>
        <w:t>5</w:t>
      </w:r>
      <w:r w:rsidRPr="00AF6F1D">
        <w:rPr>
          <w:rFonts w:ascii="Arial" w:hAnsi="Arial" w:cs="Arial"/>
          <w:sz w:val="20"/>
          <w:szCs w:val="20"/>
        </w:rPr>
        <w:t>.</w:t>
      </w:r>
    </w:p>
    <w:p w14:paraId="11A185DC" w14:textId="77777777" w:rsidR="00EB55BD" w:rsidRPr="00AF6F1D" w:rsidRDefault="00EB55BD" w:rsidP="00EB55BD">
      <w:pPr>
        <w:pStyle w:val="a4"/>
        <w:numPr>
          <w:ilvl w:val="0"/>
          <w:numId w:val="3"/>
        </w:numPr>
        <w:shd w:val="clear" w:color="auto" w:fill="FFFFFF"/>
        <w:tabs>
          <w:tab w:val="left" w:pos="993"/>
        </w:tabs>
        <w:spacing w:after="0" w:line="240" w:lineRule="auto"/>
        <w:ind w:left="0" w:firstLine="567"/>
        <w:jc w:val="both"/>
        <w:rPr>
          <w:rFonts w:ascii="Arial" w:eastAsia="Times New Roman" w:hAnsi="Arial" w:cs="Arial"/>
          <w:color w:val="1A1A1A"/>
          <w:sz w:val="20"/>
          <w:szCs w:val="20"/>
          <w:lang w:eastAsia="ru-RU"/>
        </w:rPr>
      </w:pPr>
      <w:r w:rsidRPr="00AF6F1D">
        <w:rPr>
          <w:rFonts w:ascii="Arial" w:hAnsi="Arial" w:cs="Arial"/>
          <w:sz w:val="20"/>
          <w:szCs w:val="20"/>
        </w:rPr>
        <w:t xml:space="preserve">Venue of the event: </w:t>
      </w:r>
      <w:r w:rsidRPr="00AF6F1D">
        <w:rPr>
          <w:rFonts w:ascii="Arial" w:eastAsia="Times New Roman" w:hAnsi="Arial" w:cs="Arial"/>
          <w:color w:val="1A1A1A"/>
          <w:sz w:val="20"/>
          <w:szCs w:val="20"/>
          <w:lang w:val="en-US" w:eastAsia="ru-RU"/>
        </w:rPr>
        <w:t xml:space="preserve">Ritz </w:t>
      </w:r>
      <w:r w:rsidRPr="00AF6F1D">
        <w:rPr>
          <w:rFonts w:ascii="Arial" w:eastAsia="Times New Roman" w:hAnsi="Arial" w:cs="Arial"/>
          <w:color w:val="1A1A1A"/>
          <w:sz w:val="20"/>
          <w:szCs w:val="20"/>
          <w:lang w:eastAsia="ru-RU"/>
        </w:rPr>
        <w:t xml:space="preserve">- </w:t>
      </w:r>
      <w:r w:rsidRPr="00AF6F1D">
        <w:rPr>
          <w:rFonts w:ascii="Arial" w:eastAsia="Times New Roman" w:hAnsi="Arial" w:cs="Arial"/>
          <w:color w:val="1A1A1A"/>
          <w:sz w:val="20"/>
          <w:szCs w:val="20"/>
          <w:lang w:val="en-US" w:eastAsia="ru-RU"/>
        </w:rPr>
        <w:t xml:space="preserve">Carlton </w:t>
      </w:r>
      <w:r w:rsidRPr="00AF6F1D">
        <w:rPr>
          <w:rFonts w:ascii="Arial" w:eastAsia="Times New Roman" w:hAnsi="Arial" w:cs="Arial"/>
          <w:color w:val="1A1A1A"/>
          <w:sz w:val="20"/>
          <w:szCs w:val="20"/>
          <w:lang w:eastAsia="ru-RU"/>
        </w:rPr>
        <w:t>, Almaty, Al-Farabi 77/7</w:t>
      </w:r>
    </w:p>
    <w:p w14:paraId="7C990A42" w14:textId="77777777" w:rsidR="00EB55BD" w:rsidRPr="00FD1CD8" w:rsidRDefault="00EB55BD" w:rsidP="002A4F28">
      <w:pPr>
        <w:pStyle w:val="a4"/>
        <w:numPr>
          <w:ilvl w:val="0"/>
          <w:numId w:val="3"/>
        </w:numPr>
        <w:shd w:val="clear" w:color="auto" w:fill="FFFFFF"/>
        <w:tabs>
          <w:tab w:val="left" w:pos="993"/>
        </w:tabs>
        <w:spacing w:after="0" w:line="240" w:lineRule="auto"/>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 xml:space="preserve">The summit is </w:t>
      </w:r>
      <w:r w:rsidRPr="00AF6F1D">
        <w:rPr>
          <w:rFonts w:ascii="Arial" w:hAnsi="Arial" w:cs="Arial"/>
          <w:sz w:val="20"/>
          <w:szCs w:val="20"/>
        </w:rPr>
        <w:t xml:space="preserve">a business event on the topic specified in paragraph 1 of this public offer for the establishment and maintenance of mutually beneficial relations between the participants of the event (Customers). Services for organizing an event are provided by the Event Organizer in </w:t>
      </w:r>
      <w:r w:rsidRPr="00FD1CD8">
        <w:rPr>
          <w:rFonts w:ascii="Arial" w:eastAsia="Times New Roman" w:hAnsi="Arial" w:cs="Arial"/>
          <w:sz w:val="20"/>
          <w:szCs w:val="20"/>
        </w:rPr>
        <w:t xml:space="preserve">accordance with the program posted </w:t>
      </w:r>
      <w:r w:rsidRPr="00FD1CD8">
        <w:rPr>
          <w:rFonts w:ascii="Arial" w:hAnsi="Arial" w:cs="Arial"/>
          <w:sz w:val="20"/>
          <w:szCs w:val="20"/>
        </w:rPr>
        <w:t>on the official website of the Event Organizer at:</w:t>
      </w:r>
      <w:r w:rsidR="00FD1CD8" w:rsidRPr="00FD1CD8">
        <w:rPr>
          <w:rFonts w:ascii="Arial" w:hAnsi="Arial" w:cs="Arial"/>
          <w:color w:val="351C75"/>
          <w:sz w:val="20"/>
          <w:szCs w:val="20"/>
          <w:shd w:val="clear" w:color="auto" w:fill="FFFFFF"/>
        </w:rPr>
        <w:t> </w:t>
      </w:r>
      <w:hyperlink r:id="rId5" w:history="1">
        <w:r w:rsidR="002A4F28" w:rsidRPr="00B24BAA">
          <w:rPr>
            <w:rStyle w:val="a3"/>
          </w:rPr>
          <w:t>https://caws.asia/</w:t>
        </w:r>
      </w:hyperlink>
      <w:r w:rsidR="00FD1CD8" w:rsidRPr="00FD1CD8">
        <w:rPr>
          <w:rFonts w:ascii="Arial" w:hAnsi="Arial" w:cs="Arial"/>
          <w:color w:val="351C75"/>
          <w:sz w:val="20"/>
          <w:szCs w:val="20"/>
          <w:shd w:val="clear" w:color="auto" w:fill="FFFFFF"/>
        </w:rPr>
        <w:t> </w:t>
      </w:r>
      <w:r w:rsidR="00FD1CD8" w:rsidRPr="00FD1CD8">
        <w:rPr>
          <w:rStyle w:val="2"/>
          <w:rFonts w:ascii="Arial" w:hAnsi="Arial" w:cs="Arial"/>
          <w:sz w:val="20"/>
          <w:szCs w:val="20"/>
          <w:lang w:eastAsia="ru-RU"/>
        </w:rPr>
        <w:t xml:space="preserve">and </w:t>
      </w:r>
      <w:r w:rsidRPr="00FD1CD8">
        <w:rPr>
          <w:rFonts w:ascii="Arial" w:hAnsi="Arial" w:cs="Arial"/>
          <w:sz w:val="20"/>
          <w:szCs w:val="20"/>
        </w:rPr>
        <w:t>which is an integral part of this public offer.</w:t>
      </w:r>
    </w:p>
    <w:p w14:paraId="162B6ECE" w14:textId="77777777" w:rsidR="00EB55BD" w:rsidRPr="00AF6F1D" w:rsidRDefault="00EB55BD" w:rsidP="002A4F28">
      <w:pPr>
        <w:pStyle w:val="a4"/>
        <w:numPr>
          <w:ilvl w:val="0"/>
          <w:numId w:val="3"/>
        </w:numPr>
        <w:shd w:val="clear" w:color="auto" w:fill="FFFFFF"/>
        <w:tabs>
          <w:tab w:val="left" w:pos="900"/>
          <w:tab w:val="left" w:pos="993"/>
          <w:tab w:val="left" w:pos="10773"/>
        </w:tabs>
        <w:spacing w:after="0" w:line="240" w:lineRule="auto"/>
        <w:jc w:val="both"/>
        <w:rPr>
          <w:rStyle w:val="2"/>
          <w:rFonts w:ascii="Arial" w:eastAsia="Times New Roman" w:hAnsi="Arial" w:cs="Arial"/>
          <w:color w:val="000000"/>
          <w:sz w:val="20"/>
          <w:szCs w:val="20"/>
          <w:lang w:eastAsia="ru-RU"/>
        </w:rPr>
      </w:pPr>
      <w:r w:rsidRPr="00FD1CD8">
        <w:rPr>
          <w:rFonts w:ascii="Arial" w:eastAsia="Times New Roman" w:hAnsi="Arial" w:cs="Arial"/>
          <w:color w:val="1A1A1A"/>
          <w:sz w:val="20"/>
          <w:szCs w:val="20"/>
          <w:lang w:eastAsia="ru-RU"/>
        </w:rPr>
        <w:t xml:space="preserve">The Customer's registration for participation in the event is considered successfully completed upon full payment of the participation fee in accordance with the selected service package. Information about the types of participation and the cost of contributions is posted </w:t>
      </w:r>
      <w:r w:rsidRPr="00AF6F1D">
        <w:rPr>
          <w:rFonts w:ascii="Arial" w:hAnsi="Arial" w:cs="Arial"/>
          <w:sz w:val="20"/>
          <w:szCs w:val="20"/>
        </w:rPr>
        <w:t>on the official website of the Event Organizer at:</w:t>
      </w:r>
      <w:r w:rsidR="00FD1CD8" w:rsidRPr="0035245C">
        <w:rPr>
          <w:rFonts w:ascii="Arial" w:hAnsi="Arial" w:cs="Arial"/>
          <w:color w:val="351C75"/>
          <w:sz w:val="20"/>
          <w:szCs w:val="20"/>
          <w:shd w:val="clear" w:color="auto" w:fill="FFFFFF"/>
        </w:rPr>
        <w:t> </w:t>
      </w:r>
      <w:hyperlink r:id="rId6" w:history="1">
        <w:r w:rsidR="002A4F28" w:rsidRPr="00B24BAA">
          <w:rPr>
            <w:rStyle w:val="a3"/>
          </w:rPr>
          <w:t>https://caws.asia/</w:t>
        </w:r>
      </w:hyperlink>
      <w:r w:rsidR="002A4F28">
        <w:t xml:space="preserve"> </w:t>
      </w:r>
      <w:r w:rsidR="00FD1CD8" w:rsidRPr="0035245C">
        <w:rPr>
          <w:rFonts w:ascii="Arial" w:hAnsi="Arial" w:cs="Arial"/>
          <w:color w:val="351C75"/>
          <w:sz w:val="20"/>
          <w:szCs w:val="20"/>
          <w:shd w:val="clear" w:color="auto" w:fill="FFFFFF"/>
        </w:rPr>
        <w:t>.</w:t>
      </w:r>
      <w:r w:rsidR="0035245C">
        <w:rPr>
          <w:rFonts w:ascii="Verdana" w:hAnsi="Verdana"/>
          <w:color w:val="351C75"/>
          <w:shd w:val="clear" w:color="auto" w:fill="FFFFFF"/>
        </w:rPr>
        <w:t xml:space="preserve"> </w:t>
      </w:r>
    </w:p>
    <w:p w14:paraId="1B468CCF"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eastAsia="Times New Roman" w:hAnsi="Arial" w:cs="Arial"/>
          <w:color w:val="000000"/>
          <w:sz w:val="20"/>
          <w:szCs w:val="20"/>
          <w:lang w:eastAsia="ru-RU"/>
        </w:rPr>
        <w:t xml:space="preserve">Payment is made within 3 (three) business days from the date of invoice. All payments under the agreement are made by transferring funds to the settlement account of the Event Organizer, according to the invoice issued by the Event Organizer. The Parties consider the date of payment to be the date of transfer of funds to the settlement account of the Event Organizer. Payment in the Russian Federation is accepted through an Agent - IP </w:t>
      </w:r>
      <w:proofErr w:type="spellStart"/>
      <w:r w:rsidR="002A4F28">
        <w:rPr>
          <w:rFonts w:ascii="Arial" w:eastAsia="Times New Roman" w:hAnsi="Arial" w:cs="Arial"/>
          <w:color w:val="000000"/>
          <w:sz w:val="20"/>
          <w:szCs w:val="20"/>
          <w:lang w:eastAsia="ru-RU"/>
        </w:rPr>
        <w:t>Akhmedzyanov</w:t>
      </w:r>
      <w:proofErr w:type="spellEnd"/>
      <w:r w:rsidR="002A4F28">
        <w:rPr>
          <w:rFonts w:ascii="Arial" w:eastAsia="Times New Roman" w:hAnsi="Arial" w:cs="Arial"/>
          <w:color w:val="000000"/>
          <w:sz w:val="20"/>
          <w:szCs w:val="20"/>
          <w:lang w:eastAsia="ru-RU"/>
        </w:rPr>
        <w:t xml:space="preserve"> Stanislav </w:t>
      </w:r>
      <w:proofErr w:type="spellStart"/>
      <w:r w:rsidR="002A4F28">
        <w:rPr>
          <w:rFonts w:ascii="Arial" w:eastAsia="Times New Roman" w:hAnsi="Arial" w:cs="Arial"/>
          <w:color w:val="000000"/>
          <w:sz w:val="20"/>
          <w:szCs w:val="20"/>
          <w:lang w:eastAsia="ru-RU"/>
        </w:rPr>
        <w:t>Marselyevich</w:t>
      </w:r>
      <w:proofErr w:type="spellEnd"/>
      <w:r w:rsidR="002A4F28">
        <w:rPr>
          <w:rFonts w:ascii="Arial" w:eastAsia="Times New Roman" w:hAnsi="Arial" w:cs="Arial"/>
          <w:color w:val="000000"/>
          <w:sz w:val="20"/>
          <w:szCs w:val="20"/>
          <w:lang w:eastAsia="ru-RU"/>
        </w:rPr>
        <w:t xml:space="preserve"> TIN 745301540155.</w:t>
      </w:r>
    </w:p>
    <w:p w14:paraId="7C94AEF9"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eastAsia="Times New Roman" w:hAnsi="Arial" w:cs="Arial"/>
          <w:color w:val="000000"/>
          <w:sz w:val="20"/>
          <w:szCs w:val="20"/>
          <w:lang w:eastAsia="ru-RU"/>
        </w:rPr>
        <w:t>If for any reason the Customer cancels confirmed participation in the Event, the Customer is obliged to pay the Event Organizer the following penalties if the Customer cancels participation in the period from 10 days before the date of the event or less - 75% (seventy-five percent) of the fee for participation in the event.</w:t>
      </w:r>
    </w:p>
    <w:p w14:paraId="6F097520" w14:textId="77777777" w:rsidR="00EB55BD" w:rsidRPr="00AF6F1D" w:rsidRDefault="00EB55BD" w:rsidP="00EB55BD">
      <w:pPr>
        <w:pStyle w:val="a4"/>
        <w:numPr>
          <w:ilvl w:val="0"/>
          <w:numId w:val="3"/>
        </w:numPr>
        <w:shd w:val="clear" w:color="auto" w:fill="FFFFFF"/>
        <w:tabs>
          <w:tab w:val="left" w:pos="900"/>
          <w:tab w:val="left" w:pos="993"/>
          <w:tab w:val="left" w:pos="10773"/>
        </w:tabs>
        <w:spacing w:after="0" w:line="240" w:lineRule="auto"/>
        <w:ind w:left="0" w:firstLine="567"/>
        <w:jc w:val="both"/>
        <w:rPr>
          <w:rFonts w:ascii="Arial" w:eastAsia="Times New Roman" w:hAnsi="Arial" w:cs="Arial"/>
          <w:color w:val="000000"/>
          <w:sz w:val="20"/>
          <w:szCs w:val="20"/>
          <w:lang w:eastAsia="ru-RU"/>
        </w:rPr>
      </w:pPr>
      <w:r w:rsidRPr="00AF6F1D">
        <w:rPr>
          <w:rFonts w:ascii="Arial" w:hAnsi="Arial" w:cs="Arial"/>
          <w:sz w:val="20"/>
          <w:szCs w:val="20"/>
        </w:rPr>
        <w:t>The event organizer takes photos and videos of the event. In accordance with Article 145 of the Civil Code of the Republic of Kazakhstan, taking into account the requirements of paragraph 8 of Article 15 of the Civil Code of the Republic of Kazakhstan, in order to popularize the specified event, as well as the activities of the Event Organizer, the Customer gives the Event Organizer his consent:</w:t>
      </w:r>
    </w:p>
    <w:p w14:paraId="58DF3167"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 for the Event Organizer and/or third parties acting on behalf and/or in the interests of the Event Organizer to video and photograph the Participant’s image (photo and/or video) of the Participant’s participation in the event;</w:t>
      </w:r>
    </w:p>
    <w:p w14:paraId="05772219"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 The organizer of the event to use the name of the Participant, to publish, reproduce and distribute the image of the Participant and/or other audio, video, photographic materials obtained as a result of the event in which the Participant is depicted, by any means and by any means without limitation in time and territory use, including the right to edit these materials and transfer them to third parties.</w:t>
      </w:r>
    </w:p>
    <w:p w14:paraId="4663DF37" w14:textId="77777777" w:rsidR="00EB55BD" w:rsidRPr="00AF6F1D" w:rsidRDefault="00EB55BD" w:rsidP="00EB55BD">
      <w:pPr>
        <w:pStyle w:val="Default"/>
        <w:tabs>
          <w:tab w:val="left" w:pos="993"/>
        </w:tabs>
        <w:ind w:firstLine="567"/>
        <w:jc w:val="both"/>
        <w:rPr>
          <w:rFonts w:ascii="Arial" w:hAnsi="Arial" w:cs="Arial"/>
          <w:sz w:val="20"/>
          <w:szCs w:val="20"/>
        </w:rPr>
      </w:pPr>
      <w:r w:rsidRPr="00AF6F1D">
        <w:rPr>
          <w:rFonts w:ascii="Arial" w:hAnsi="Arial" w:cs="Arial"/>
          <w:sz w:val="20"/>
          <w:szCs w:val="20"/>
        </w:rPr>
        <w:t>The Participant provides this consent free of charge for an indefinite period and has no right to subsequently demand compensation in any form from the Organizer.</w:t>
      </w:r>
    </w:p>
    <w:p w14:paraId="00771B6C" w14:textId="77777777" w:rsidR="00EB55BD" w:rsidRPr="00AF6F1D" w:rsidRDefault="00EB55BD" w:rsidP="00EB55BD">
      <w:pPr>
        <w:pStyle w:val="Default"/>
        <w:numPr>
          <w:ilvl w:val="0"/>
          <w:numId w:val="3"/>
        </w:numPr>
        <w:tabs>
          <w:tab w:val="left" w:pos="993"/>
        </w:tabs>
        <w:ind w:left="0" w:firstLine="567"/>
        <w:jc w:val="both"/>
        <w:rPr>
          <w:rFonts w:ascii="Arial" w:hAnsi="Arial" w:cs="Arial"/>
          <w:color w:val="auto"/>
          <w:sz w:val="20"/>
          <w:szCs w:val="20"/>
        </w:rPr>
      </w:pPr>
      <w:r w:rsidRPr="00AF6F1D">
        <w:rPr>
          <w:rFonts w:ascii="Arial" w:hAnsi="Arial" w:cs="Arial"/>
          <w:sz w:val="20"/>
          <w:szCs w:val="20"/>
        </w:rPr>
        <w:t xml:space="preserve">In pursuance of Articles 7 and 8 of the Law of the Republic of Kazakhstan dated May 21, 2013 No. 94-V “On personal data and their protection”, the Customer/Participant, by filling out the registration form for participation in the event and acceding to this agreement, gives his consent to the collection and processing of your personal data by the Organizer, who is also the operator of the Internet site: Processing of personal data refers to actions aimed at accumulating, </w:t>
      </w:r>
      <w:r w:rsidRPr="00AF6F1D">
        <w:rPr>
          <w:rFonts w:ascii="Arial" w:hAnsi="Arial" w:cs="Arial"/>
          <w:color w:val="auto"/>
          <w:sz w:val="20"/>
          <w:szCs w:val="20"/>
        </w:rPr>
        <w:t>storing, changing, supplementing, using, distributing, depersonalizing, blocking and destroying the Participant’s personal data.</w:t>
      </w:r>
      <w:r w:rsidRPr="00AF6F1D">
        <w:rPr>
          <w:rFonts w:ascii="Arial" w:hAnsi="Arial" w:cs="Arial"/>
          <w:sz w:val="20"/>
          <w:szCs w:val="20"/>
        </w:rPr>
        <w:t xml:space="preserve"> </w:t>
      </w:r>
      <w:r w:rsidRPr="00AF6F1D">
        <w:rPr>
          <w:rFonts w:ascii="Arial" w:hAnsi="Arial" w:cs="Arial"/>
          <w:color w:val="auto"/>
          <w:sz w:val="20"/>
          <w:szCs w:val="20"/>
        </w:rPr>
        <w:t xml:space="preserve">The processing of the Participant’s personal data is carried out solely for the purpose of ensuring the Participant’s registration to participate in the event and the subsequent sending to the Participant of short text messages (SMS) or electronic mail (e-mail) with information about the events of the Event Organizer. The date of issuance of consent to the processing of the Participant’s personal data is the date of sending the registration form to the Event Organizer. The consent is valid for 5 (five) years from the date of transfer of the Participant’s personal data. Consent to the processing of personal data can be withdrawn by the Participant by sending it to the Organizer by email: </w:t>
      </w:r>
      <w:r w:rsidR="002A4F28">
        <w:rPr>
          <w:rFonts w:ascii="Arial" w:hAnsi="Arial" w:cs="Arial"/>
          <w:color w:val="0000FF"/>
          <w:sz w:val="20"/>
          <w:szCs w:val="20"/>
          <w:lang w:val="en-US"/>
        </w:rPr>
        <w:t xml:space="preserve">info </w:t>
      </w:r>
      <w:r w:rsidR="002A4F28" w:rsidRPr="002A4F28">
        <w:rPr>
          <w:rFonts w:ascii="Arial" w:hAnsi="Arial" w:cs="Arial"/>
          <w:color w:val="0000FF"/>
          <w:sz w:val="20"/>
          <w:szCs w:val="20"/>
        </w:rPr>
        <w:t xml:space="preserve">@ </w:t>
      </w:r>
      <w:proofErr w:type="gramStart"/>
      <w:r w:rsidR="002A4F28">
        <w:rPr>
          <w:rFonts w:ascii="Arial" w:hAnsi="Arial" w:cs="Arial"/>
          <w:color w:val="0000FF"/>
          <w:sz w:val="20"/>
          <w:szCs w:val="20"/>
          <w:lang w:val="en-US"/>
        </w:rPr>
        <w:t xml:space="preserve">caws </w:t>
      </w:r>
      <w:r w:rsidR="002A4F28" w:rsidRPr="002A4F28">
        <w:rPr>
          <w:rFonts w:ascii="Arial" w:hAnsi="Arial" w:cs="Arial"/>
          <w:color w:val="0000FF"/>
          <w:sz w:val="20"/>
          <w:szCs w:val="20"/>
        </w:rPr>
        <w:t>.</w:t>
      </w:r>
      <w:proofErr w:type="gramEnd"/>
      <w:r w:rsidR="002A4F28" w:rsidRPr="002A4F28">
        <w:rPr>
          <w:rFonts w:ascii="Arial" w:hAnsi="Arial" w:cs="Arial"/>
          <w:color w:val="0000FF"/>
          <w:sz w:val="20"/>
          <w:szCs w:val="20"/>
        </w:rPr>
        <w:t xml:space="preserve"> </w:t>
      </w:r>
      <w:proofErr w:type="spellStart"/>
      <w:proofErr w:type="gramStart"/>
      <w:r w:rsidR="002A4F28">
        <w:rPr>
          <w:rFonts w:ascii="Arial" w:hAnsi="Arial" w:cs="Arial"/>
          <w:color w:val="0000FF"/>
          <w:sz w:val="20"/>
          <w:szCs w:val="20"/>
          <w:lang w:val="en-US"/>
        </w:rPr>
        <w:t>ru</w:t>
      </w:r>
      <w:proofErr w:type="spellEnd"/>
      <w:r w:rsidR="002A4F28" w:rsidRPr="002A4F28">
        <w:rPr>
          <w:rFonts w:ascii="Arial" w:hAnsi="Arial" w:cs="Arial"/>
          <w:color w:val="0000FF"/>
          <w:sz w:val="20"/>
          <w:szCs w:val="20"/>
        </w:rPr>
        <w:t xml:space="preserve">  a</w:t>
      </w:r>
      <w:proofErr w:type="gramEnd"/>
      <w:r w:rsidR="002A4F28" w:rsidRPr="002A4F28">
        <w:rPr>
          <w:rFonts w:ascii="Arial" w:hAnsi="Arial" w:cs="Arial"/>
          <w:color w:val="0000FF"/>
          <w:sz w:val="20"/>
          <w:szCs w:val="20"/>
        </w:rPr>
        <w:t xml:space="preserve"> </w:t>
      </w:r>
      <w:r w:rsidRPr="00AF6F1D">
        <w:rPr>
          <w:rFonts w:ascii="Arial" w:hAnsi="Arial" w:cs="Arial"/>
          <w:sz w:val="20"/>
          <w:szCs w:val="20"/>
        </w:rPr>
        <w:t>written statement in any form about the withdrawal of consent to the processing of personal data</w:t>
      </w:r>
    </w:p>
    <w:p w14:paraId="7463BAEC" w14:textId="77777777" w:rsidR="00EB55BD" w:rsidRPr="00AF6F1D" w:rsidRDefault="00EB55BD" w:rsidP="00EB55BD">
      <w:pPr>
        <w:pStyle w:val="Default"/>
        <w:numPr>
          <w:ilvl w:val="0"/>
          <w:numId w:val="3"/>
        </w:numPr>
        <w:jc w:val="both"/>
        <w:rPr>
          <w:rFonts w:ascii="Arial" w:hAnsi="Arial" w:cs="Arial"/>
          <w:sz w:val="20"/>
          <w:szCs w:val="20"/>
        </w:rPr>
      </w:pPr>
      <w:r w:rsidRPr="00AF6F1D">
        <w:rPr>
          <w:rFonts w:ascii="Arial" w:hAnsi="Arial" w:cs="Arial"/>
          <w:sz w:val="20"/>
          <w:szCs w:val="20"/>
        </w:rPr>
        <w:t>The event organizer undertakes:</w:t>
      </w:r>
    </w:p>
    <w:p w14:paraId="3106F4E2"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lastRenderedPageBreak/>
        <w:t>provide the Customer with the opportunity to register to participate in the event, including through the website of the event organizer;</w:t>
      </w:r>
    </w:p>
    <w:p w14:paraId="72ED5EEF"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bring to the Customer’s attention the necessary information about the event by posting it on the Site;</w:t>
      </w:r>
    </w:p>
    <w:p w14:paraId="175FF90D"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provide the Customer with explanations on questions about the procedure and rules for filling out the registration form on the Site, the content of the Services provided and other issues related to the event orally by phone or in writing by email;</w:t>
      </w:r>
    </w:p>
    <w:p w14:paraId="57E235DF"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provide Services to the Customer in accordance with the event program;</w:t>
      </w:r>
    </w:p>
    <w:p w14:paraId="1C399729" w14:textId="77777777" w:rsidR="00EB55BD" w:rsidRPr="00AF6F1D" w:rsidRDefault="00EB55BD" w:rsidP="00EB55BD">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in case of changes in the conditions for the provision of Services (including the start date for the provision of Services, the date of the event), notify the Customer at least 3 (three) days before the implementation of such changes. Notification is carried out by posting relevant information on the Event Organizer’s Website, as well as by sending a message to the email address specified by the Customer when filling out the registration form on the Website to participate in the event;</w:t>
      </w:r>
    </w:p>
    <w:p w14:paraId="6868CFFE" w14:textId="77777777" w:rsidR="00EB55BD" w:rsidRPr="00AF6F1D" w:rsidRDefault="00EB55BD" w:rsidP="000F3993">
      <w:pPr>
        <w:pStyle w:val="Default"/>
        <w:numPr>
          <w:ilvl w:val="1"/>
          <w:numId w:val="9"/>
        </w:numPr>
        <w:tabs>
          <w:tab w:val="left" w:pos="1134"/>
        </w:tabs>
        <w:ind w:left="0" w:firstLine="567"/>
        <w:jc w:val="both"/>
        <w:rPr>
          <w:rFonts w:ascii="Arial" w:hAnsi="Arial" w:cs="Arial"/>
          <w:sz w:val="20"/>
          <w:szCs w:val="20"/>
        </w:rPr>
      </w:pPr>
      <w:r w:rsidRPr="00AF6F1D">
        <w:rPr>
          <w:rFonts w:ascii="Arial" w:hAnsi="Arial" w:cs="Arial"/>
          <w:sz w:val="20"/>
          <w:szCs w:val="20"/>
        </w:rPr>
        <w:t>upon completion of the Services, issue closing documents to the Customer.</w:t>
      </w:r>
    </w:p>
    <w:p w14:paraId="180023C9"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For non-fulfillment or improper fulfillment of this agreement, the Parties are liable in accordance with the legislation of the Republic of Kazakhstan.</w:t>
      </w:r>
    </w:p>
    <w:p w14:paraId="586987B2"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The event organizer is released from liability for partial or complete failure to fulfill obligations under this agreement, including cancellation of the event if it was a consequence of force majeure circumstances. The Parties include the following as force majeure circumstances: natural disasters (earthquake, flood, hurricane); gusts of wind, other circumstances, events, phenomena that the CoES of the Ministry of Internal Affairs of the Republic of Kazakhstan recognizes as emergency and warns of their possible occurrence; fire; mass diseases (epidemics); restrictive measures by government authorities, including the introduction of quarantine: strikes; military actions, conflicts and coups; civil unrest; terrorist attacks; sabotage; transportation restrictions; prohibitive measures of states; ban on trade transactions, including with certain countries, due to the adoption of international sanctions; acts, actions, inactions of state authorities, local government; as well as other circumstances beyond the control of the Parties that make it impossible to fulfill obligations under this agreement, which the Parties should not and could not have foreseen and prevented by reasonable measures. If the above circumstances occur or threaten to occur, as a result of which the event is subject to cancellation, all information about this will be posted on the Organizer’s website and/or the Participant will be notified by the Organizer via SMS message to the phone number or letter to the email address specified during the registration process.</w:t>
      </w:r>
    </w:p>
    <w:p w14:paraId="6387A1E9" w14:textId="77777777" w:rsidR="00EB55BD" w:rsidRPr="00AF6F1D" w:rsidRDefault="00EB55BD" w:rsidP="00EB55BD">
      <w:pPr>
        <w:pStyle w:val="a4"/>
        <w:numPr>
          <w:ilvl w:val="0"/>
          <w:numId w:val="9"/>
        </w:numPr>
        <w:tabs>
          <w:tab w:val="left" w:pos="993"/>
        </w:tabs>
        <w:spacing w:after="0"/>
        <w:ind w:left="0" w:firstLine="567"/>
        <w:jc w:val="both"/>
        <w:rPr>
          <w:rFonts w:ascii="Arial" w:hAnsi="Arial" w:cs="Arial"/>
          <w:sz w:val="20"/>
          <w:szCs w:val="20"/>
        </w:rPr>
      </w:pPr>
      <w:r w:rsidRPr="00AF6F1D">
        <w:rPr>
          <w:rFonts w:ascii="Arial" w:eastAsia="Times New Roman" w:hAnsi="Arial" w:cs="Arial"/>
          <w:color w:val="1A1A1A"/>
          <w:sz w:val="20"/>
          <w:szCs w:val="20"/>
          <w:lang w:eastAsia="ru-RU"/>
        </w:rPr>
        <w:t>If the force majeure circumstances specified in paragraph 13 of this public offer will last for more than 5 (five) months and a new date for the event cannot be determined by the Event Organizer due to the continued effect of one or another force majeure circumstance and/or its consequences, then after 6 (six) months, the Event Organizer, if there is a written request from the Participant, returns to him 50% (fifty percent) of the cost of the fee for participation in the event previously paid to the Organizer, without compensation for any losses arising as a result of the above circumstances.</w:t>
      </w:r>
    </w:p>
    <w:p w14:paraId="655B5736" w14:textId="77777777" w:rsidR="00AF6F1D" w:rsidRPr="00AF6F1D" w:rsidRDefault="00AF6F1D" w:rsidP="00AF6F1D">
      <w:pPr>
        <w:pStyle w:val="a4"/>
        <w:numPr>
          <w:ilvl w:val="0"/>
          <w:numId w:val="9"/>
        </w:numPr>
        <w:shd w:val="clear" w:color="auto" w:fill="FFFFFF"/>
        <w:tabs>
          <w:tab w:val="left" w:pos="851"/>
        </w:tabs>
        <w:spacing w:after="0" w:line="240" w:lineRule="auto"/>
        <w:ind w:left="0" w:firstLine="567"/>
        <w:jc w:val="both"/>
        <w:rPr>
          <w:rFonts w:ascii="Arial" w:eastAsia="Times New Roman" w:hAnsi="Arial" w:cs="Arial"/>
          <w:color w:val="1A1A1A"/>
          <w:sz w:val="20"/>
          <w:szCs w:val="20"/>
          <w:lang w:eastAsia="ru-RU"/>
        </w:rPr>
      </w:pPr>
      <w:r w:rsidRPr="00AF6F1D">
        <w:rPr>
          <w:rFonts w:ascii="Arial" w:eastAsia="Times New Roman" w:hAnsi="Arial" w:cs="Arial"/>
          <w:color w:val="1A1A1A"/>
          <w:sz w:val="20"/>
          <w:szCs w:val="20"/>
          <w:lang w:eastAsia="ru-RU"/>
        </w:rPr>
        <w:t>The parties resolve all disagreements and disputes through negotiations; disputes are subject to resolution in the manner prescribed by the legislation of the Republic of Kazakhstan, at the location of the Event Organizer.</w:t>
      </w:r>
    </w:p>
    <w:p w14:paraId="7C2D9E36" w14:textId="77777777" w:rsidR="00EB55BD" w:rsidRPr="00AF6F1D" w:rsidRDefault="00EB55BD" w:rsidP="00EB55BD">
      <w:pPr>
        <w:tabs>
          <w:tab w:val="left" w:pos="993"/>
        </w:tabs>
        <w:spacing w:after="0"/>
        <w:jc w:val="both"/>
        <w:rPr>
          <w:rFonts w:ascii="Arial" w:hAnsi="Arial" w:cs="Arial"/>
          <w:sz w:val="20"/>
          <w:szCs w:val="20"/>
        </w:rPr>
      </w:pPr>
    </w:p>
    <w:p w14:paraId="7D1B7786" w14:textId="77777777" w:rsidR="00EB55BD" w:rsidRPr="00AF6F1D" w:rsidRDefault="00EB55BD" w:rsidP="000F3993">
      <w:pPr>
        <w:pStyle w:val="a4"/>
        <w:numPr>
          <w:ilvl w:val="0"/>
          <w:numId w:val="9"/>
        </w:numPr>
        <w:tabs>
          <w:tab w:val="left" w:pos="993"/>
        </w:tabs>
        <w:spacing w:after="0"/>
        <w:ind w:left="0" w:firstLine="567"/>
        <w:jc w:val="both"/>
        <w:rPr>
          <w:rFonts w:ascii="Arial" w:hAnsi="Arial" w:cs="Arial"/>
          <w:sz w:val="20"/>
          <w:szCs w:val="20"/>
        </w:rPr>
      </w:pPr>
      <w:r w:rsidRPr="00AF6F1D">
        <w:rPr>
          <w:rFonts w:ascii="Arial" w:hAnsi="Arial" w:cs="Arial"/>
          <w:sz w:val="20"/>
          <w:szCs w:val="20"/>
        </w:rPr>
        <w:t>Details of the Organizer and Agent of the event:</w:t>
      </w:r>
    </w:p>
    <w:tbl>
      <w:tblPr>
        <w:tblW w:w="0" w:type="auto"/>
        <w:tblInd w:w="284" w:type="dxa"/>
        <w:tblCellMar>
          <w:left w:w="90" w:type="dxa"/>
          <w:right w:w="90" w:type="dxa"/>
        </w:tblCellMar>
        <w:tblLook w:val="01E0" w:firstRow="1" w:lastRow="1" w:firstColumn="1" w:lastColumn="1" w:noHBand="0" w:noVBand="0"/>
      </w:tblPr>
      <w:tblGrid>
        <w:gridCol w:w="5317"/>
      </w:tblGrid>
      <w:tr w:rsidR="00EB55BD" w:rsidRPr="002A4F28" w14:paraId="7AA7493D" w14:textId="77777777" w:rsidTr="002A4F28">
        <w:trPr>
          <w:trHeight w:val="590"/>
        </w:trPr>
        <w:tc>
          <w:tcPr>
            <w:tcW w:w="5317" w:type="dxa"/>
          </w:tcPr>
          <w:tbl>
            <w:tblPr>
              <w:tblW w:w="5137" w:type="dxa"/>
              <w:tblLook w:val="01E0" w:firstRow="1" w:lastRow="1" w:firstColumn="1" w:lastColumn="1" w:noHBand="0" w:noVBand="0"/>
            </w:tblPr>
            <w:tblGrid>
              <w:gridCol w:w="5137"/>
            </w:tblGrid>
            <w:tr w:rsidR="00EB55BD" w:rsidRPr="002A4F28" w14:paraId="2E49B582" w14:textId="77777777" w:rsidTr="00AF6F1D">
              <w:trPr>
                <w:trHeight w:val="223"/>
              </w:trPr>
              <w:tc>
                <w:tcPr>
                  <w:tcW w:w="5137" w:type="dxa"/>
                </w:tcPr>
                <w:p w14:paraId="21C53DE7" w14:textId="2121EE16" w:rsidR="00EB55BD" w:rsidRPr="002A4F28" w:rsidRDefault="004A608E" w:rsidP="00EB55BD">
                  <w:pPr>
                    <w:spacing w:after="0" w:line="240" w:lineRule="auto"/>
                    <w:rPr>
                      <w:rFonts w:ascii="Arial" w:hAnsi="Arial" w:cs="Arial"/>
                      <w:b/>
                      <w:sz w:val="20"/>
                      <w:szCs w:val="20"/>
                      <w:lang w:val="en-US"/>
                    </w:rPr>
                  </w:pPr>
                  <w:r w:rsidRPr="004A608E">
                    <w:rPr>
                      <w:rFonts w:ascii="Arial" w:hAnsi="Arial" w:cs="Arial"/>
                      <w:b/>
                      <w:sz w:val="20"/>
                      <w:szCs w:val="20"/>
                      <w:lang w:val="en-US"/>
                    </w:rPr>
                    <w:t xml:space="preserve">IBC Global </w:t>
                  </w:r>
                  <w:r w:rsidR="00EB55BD" w:rsidRPr="002A4F28">
                    <w:rPr>
                      <w:rFonts w:ascii="Arial" w:hAnsi="Arial" w:cs="Arial"/>
                      <w:b/>
                      <w:sz w:val="20"/>
                      <w:szCs w:val="20"/>
                      <w:lang w:val="en-US"/>
                    </w:rPr>
                    <w:t>LLP</w:t>
                  </w:r>
                </w:p>
                <w:p w14:paraId="26E481E3"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BIN 230740021619</w:t>
                  </w:r>
                </w:p>
                <w:p w14:paraId="2757B96F"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b/>
                      <w:sz w:val="20"/>
                      <w:szCs w:val="20"/>
                      <w:lang w:val="en-US"/>
                    </w:rPr>
                    <w:t xml:space="preserve">Bank details </w:t>
                  </w:r>
                  <w:r w:rsidRPr="002A4F28">
                    <w:rPr>
                      <w:rFonts w:ascii="Arial" w:hAnsi="Arial" w:cs="Arial"/>
                      <w:sz w:val="20"/>
                      <w:szCs w:val="20"/>
                      <w:lang w:val="en-US"/>
                    </w:rPr>
                    <w:t>:</w:t>
                  </w:r>
                </w:p>
                <w:p w14:paraId="6B71943D"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IIK KZ58722S000026836370</w:t>
                  </w:r>
                </w:p>
                <w:p w14:paraId="7F50DBD9"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at JSC "Kaspi Bank"</w:t>
                  </w:r>
                </w:p>
                <w:p w14:paraId="5C0EFF0E"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BIC CASPKZKA</w:t>
                  </w:r>
                </w:p>
                <w:p w14:paraId="465B933A"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b/>
                      <w:sz w:val="20"/>
                      <w:szCs w:val="20"/>
                      <w:lang w:val="en-US"/>
                    </w:rPr>
                    <w:t xml:space="preserve">Address </w:t>
                  </w:r>
                  <w:r w:rsidRPr="002A4F28">
                    <w:rPr>
                      <w:rFonts w:ascii="Arial" w:hAnsi="Arial" w:cs="Arial"/>
                      <w:sz w:val="20"/>
                      <w:szCs w:val="20"/>
                      <w:lang w:val="en-US"/>
                    </w:rPr>
                    <w:t>:</w:t>
                  </w:r>
                </w:p>
                <w:p w14:paraId="422BFB6D"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Republic of Kazakhstan, 050010, Almaty,</w:t>
                  </w:r>
                </w:p>
                <w:p w14:paraId="2C5958E5" w14:textId="77777777" w:rsidR="00EB55BD" w:rsidRPr="002A4F28"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BC "Ken Dala", Dostyk Avenue, 38,</w:t>
                  </w:r>
                </w:p>
                <w:p w14:paraId="7AB409ED"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Office No. A3, 4th floor “Infinity Space”</w:t>
                  </w:r>
                </w:p>
                <w:p w14:paraId="67EDC6E6" w14:textId="77777777" w:rsidR="00EB55BD" w:rsidRPr="00AF6F1D" w:rsidRDefault="00EB55BD" w:rsidP="00EB55BD">
                  <w:pPr>
                    <w:spacing w:after="0" w:line="240" w:lineRule="auto"/>
                    <w:rPr>
                      <w:rFonts w:ascii="Arial" w:hAnsi="Arial" w:cs="Arial"/>
                      <w:sz w:val="20"/>
                      <w:szCs w:val="20"/>
                      <w:lang w:val="en-US"/>
                    </w:rPr>
                  </w:pPr>
                  <w:r w:rsidRPr="002A4F28">
                    <w:rPr>
                      <w:rFonts w:ascii="Arial" w:hAnsi="Arial" w:cs="Arial"/>
                      <w:sz w:val="20"/>
                      <w:szCs w:val="20"/>
                      <w:lang w:val="en-US"/>
                    </w:rPr>
                    <w:t>Mobile +7 701 2450425</w:t>
                  </w:r>
                </w:p>
                <w:p w14:paraId="27F464DC" w14:textId="77777777" w:rsidR="00EB55BD" w:rsidRPr="002A4F28" w:rsidRDefault="002A4F28" w:rsidP="00EB55BD">
                  <w:pPr>
                    <w:spacing w:after="0" w:line="240" w:lineRule="auto"/>
                    <w:rPr>
                      <w:rFonts w:ascii="Arial" w:hAnsi="Arial" w:cs="Arial"/>
                      <w:sz w:val="20"/>
                      <w:szCs w:val="20"/>
                      <w:lang w:val="en-US"/>
                    </w:rPr>
                  </w:pPr>
                  <w:r w:rsidRPr="002A4F28">
                    <w:rPr>
                      <w:rFonts w:ascii="Arial" w:hAnsi="Arial" w:cs="Arial"/>
                      <w:sz w:val="20"/>
                      <w:szCs w:val="20"/>
                      <w:lang w:val="en-US"/>
                    </w:rPr>
                    <w:t xml:space="preserve">mail </w:t>
                  </w:r>
                  <w:r w:rsidR="00EB55BD" w:rsidRPr="00AF6F1D">
                    <w:rPr>
                      <w:rFonts w:ascii="Arial" w:hAnsi="Arial" w:cs="Arial"/>
                      <w:sz w:val="20"/>
                      <w:szCs w:val="20"/>
                      <w:lang w:val="en-US"/>
                    </w:rPr>
                    <w:t>: SA@IBC-Global.Pro</w:t>
                  </w:r>
                  <w:r w:rsidRPr="002A4F28">
                    <w:rPr>
                      <w:rFonts w:ascii="Arial" w:hAnsi="Arial" w:cs="Arial"/>
                      <w:sz w:val="20"/>
                      <w:szCs w:val="20"/>
                      <w:lang w:val="en-US"/>
                    </w:rPr>
                    <w:t xml:space="preserve">  </w:t>
                  </w:r>
                  <w:r w:rsidR="00EB55BD" w:rsidRPr="00AF6F1D">
                    <w:rPr>
                      <w:rFonts w:ascii="Arial" w:hAnsi="Arial" w:cs="Arial"/>
                      <w:sz w:val="20"/>
                      <w:szCs w:val="20"/>
                      <w:lang w:val="en-US"/>
                    </w:rPr>
                    <w:t xml:space="preserve"> </w:t>
                  </w:r>
                  <w:hyperlink r:id="rId7" w:history="1">
                    <w:r w:rsidRPr="002A4F28">
                      <w:rPr>
                        <w:rFonts w:ascii="Arial" w:hAnsi="Arial" w:cs="Arial"/>
                        <w:sz w:val="20"/>
                        <w:szCs w:val="20"/>
                        <w:lang w:val="en-US"/>
                      </w:rPr>
                      <w:t>+7 707 16 55 826</w:t>
                    </w:r>
                  </w:hyperlink>
                </w:p>
                <w:p w14:paraId="65CE16B3" w14:textId="77777777" w:rsidR="00EB55BD" w:rsidRPr="00AF6F1D" w:rsidRDefault="004A608E" w:rsidP="00EB55BD">
                  <w:pPr>
                    <w:spacing w:after="0" w:line="240" w:lineRule="auto"/>
                    <w:rPr>
                      <w:rFonts w:ascii="Arial" w:hAnsi="Arial" w:cs="Arial"/>
                      <w:sz w:val="20"/>
                      <w:szCs w:val="20"/>
                      <w:lang w:val="en-US"/>
                    </w:rPr>
                  </w:pPr>
                  <w:hyperlink r:id="rId8" w:history="1"/>
                </w:p>
              </w:tc>
            </w:tr>
            <w:tr w:rsidR="00EB55BD" w:rsidRPr="002A4F28" w14:paraId="0D8257A8" w14:textId="77777777" w:rsidTr="00AF6F1D">
              <w:trPr>
                <w:trHeight w:val="65"/>
              </w:trPr>
              <w:tc>
                <w:tcPr>
                  <w:tcW w:w="5137" w:type="dxa"/>
                </w:tcPr>
                <w:p w14:paraId="5CC505F4" w14:textId="77777777" w:rsidR="00EB55BD" w:rsidRPr="00AF6F1D" w:rsidRDefault="00EB55BD" w:rsidP="00C0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sz w:val="20"/>
                      <w:szCs w:val="20"/>
                      <w:lang w:val="en-US"/>
                    </w:rPr>
                  </w:pPr>
                </w:p>
              </w:tc>
            </w:tr>
          </w:tbl>
          <w:p w14:paraId="5C697EBA" w14:textId="77777777" w:rsidR="002A4F28" w:rsidRPr="002A4F28" w:rsidRDefault="002A4F28" w:rsidP="00C04CFD">
            <w:pPr>
              <w:spacing w:line="240" w:lineRule="auto"/>
              <w:rPr>
                <w:rFonts w:ascii="Arial" w:hAnsi="Arial" w:cs="Arial"/>
                <w:sz w:val="20"/>
                <w:szCs w:val="20"/>
                <w:lang w:val="en-US"/>
              </w:rPr>
            </w:pPr>
          </w:p>
          <w:p w14:paraId="562F9656" w14:textId="77777777" w:rsidR="00EB55BD" w:rsidRPr="002A4F28" w:rsidRDefault="002A4F28" w:rsidP="00C04CFD">
            <w:pPr>
              <w:spacing w:line="240" w:lineRule="auto"/>
              <w:rPr>
                <w:rFonts w:ascii="Arial" w:hAnsi="Arial" w:cs="Arial"/>
                <w:b/>
                <w:sz w:val="20"/>
                <w:szCs w:val="20"/>
                <w:lang w:val="en-US"/>
              </w:rPr>
            </w:pPr>
            <w:r w:rsidRPr="002A4F28">
              <w:rPr>
                <w:rFonts w:ascii="Arial" w:hAnsi="Arial" w:cs="Arial"/>
                <w:b/>
                <w:sz w:val="20"/>
                <w:szCs w:val="20"/>
                <w:lang w:val="en-US"/>
              </w:rPr>
              <w:t xml:space="preserve">IP </w:t>
            </w:r>
            <w:proofErr w:type="spellStart"/>
            <w:r w:rsidRPr="002A4F28">
              <w:rPr>
                <w:rFonts w:ascii="Arial" w:hAnsi="Arial" w:cs="Arial"/>
                <w:b/>
                <w:sz w:val="20"/>
                <w:szCs w:val="20"/>
                <w:lang w:val="en-US"/>
              </w:rPr>
              <w:t>Akhmedzyanov</w:t>
            </w:r>
            <w:proofErr w:type="spellEnd"/>
            <w:r w:rsidRPr="002A4F28">
              <w:rPr>
                <w:rFonts w:ascii="Arial" w:hAnsi="Arial" w:cs="Arial"/>
                <w:b/>
                <w:sz w:val="20"/>
                <w:szCs w:val="20"/>
                <w:lang w:val="en-US"/>
              </w:rPr>
              <w:t xml:space="preserve"> Stanislav </w:t>
            </w:r>
            <w:proofErr w:type="spellStart"/>
            <w:r w:rsidRPr="002A4F28">
              <w:rPr>
                <w:rFonts w:ascii="Arial" w:hAnsi="Arial" w:cs="Arial"/>
                <w:b/>
                <w:sz w:val="20"/>
                <w:szCs w:val="20"/>
                <w:lang w:val="en-US"/>
              </w:rPr>
              <w:t>Marselevich</w:t>
            </w:r>
            <w:proofErr w:type="spellEnd"/>
          </w:p>
        </w:tc>
      </w:tr>
    </w:tbl>
    <w:p w14:paraId="7EB1ADDB"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Certificate of State</w:t>
      </w:r>
    </w:p>
    <w:p w14:paraId="01679EC7"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registration of an individual entrepreneur</w:t>
      </w:r>
    </w:p>
    <w:p w14:paraId="7F42E146"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No. 309744732400037</w:t>
      </w:r>
    </w:p>
    <w:p w14:paraId="43C94858" w14:textId="77777777" w:rsid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TIN 745301540155</w:t>
      </w:r>
    </w:p>
    <w:p w14:paraId="1BE93E66" w14:textId="77777777" w:rsidR="002A4F28" w:rsidRPr="002A4F28" w:rsidRDefault="002A4F28" w:rsidP="002A4F28">
      <w:pPr>
        <w:spacing w:after="0" w:line="240" w:lineRule="auto"/>
        <w:rPr>
          <w:rFonts w:ascii="Arial" w:hAnsi="Arial" w:cs="Arial"/>
          <w:sz w:val="20"/>
          <w:szCs w:val="20"/>
          <w:lang w:val="en-US"/>
        </w:rPr>
      </w:pPr>
    </w:p>
    <w:p w14:paraId="5E0B8E25" w14:textId="77777777" w:rsidR="002A4F28" w:rsidRPr="002A4F28" w:rsidRDefault="002A4F28" w:rsidP="002A4F28">
      <w:pPr>
        <w:spacing w:after="0" w:line="240" w:lineRule="auto"/>
        <w:rPr>
          <w:rFonts w:ascii="Arial" w:hAnsi="Arial" w:cs="Arial"/>
          <w:b/>
          <w:sz w:val="20"/>
          <w:szCs w:val="20"/>
          <w:lang w:val="en-US"/>
        </w:rPr>
      </w:pPr>
      <w:r w:rsidRPr="002A4F28">
        <w:rPr>
          <w:rFonts w:ascii="Arial" w:hAnsi="Arial" w:cs="Arial"/>
          <w:b/>
          <w:sz w:val="20"/>
          <w:szCs w:val="20"/>
          <w:lang w:val="en-US"/>
        </w:rPr>
        <w:t>Bank details:</w:t>
      </w:r>
    </w:p>
    <w:p w14:paraId="7C58F907"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lastRenderedPageBreak/>
        <w:t>r/account 40802810372000015186</w:t>
      </w:r>
    </w:p>
    <w:p w14:paraId="7C568EB4"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correspondence /account 30101810700000000602</w:t>
      </w:r>
    </w:p>
    <w:p w14:paraId="1FAD97B0"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in Chelyabinsk branch No. 8597 of Sberbank PJSC</w:t>
      </w:r>
    </w:p>
    <w:p w14:paraId="61A0FDFF" w14:textId="77777777" w:rsidR="002A4F28" w:rsidRDefault="002A4F28" w:rsidP="002A4F28">
      <w:pPr>
        <w:spacing w:after="0" w:line="240" w:lineRule="auto"/>
        <w:rPr>
          <w:rFonts w:ascii="Arial" w:hAnsi="Arial" w:cs="Arial"/>
          <w:sz w:val="20"/>
          <w:szCs w:val="20"/>
          <w:lang w:val="en-US"/>
        </w:rPr>
      </w:pPr>
      <w:r w:rsidRPr="002A4F28">
        <w:rPr>
          <w:rFonts w:ascii="Arial" w:hAnsi="Arial" w:cs="Arial"/>
          <w:sz w:val="20"/>
          <w:szCs w:val="20"/>
          <w:lang w:val="en-US"/>
        </w:rPr>
        <w:t>BIC 047501602</w:t>
      </w:r>
    </w:p>
    <w:p w14:paraId="783D0F47" w14:textId="77777777" w:rsidR="002A4F28" w:rsidRPr="002A4F28" w:rsidRDefault="002A4F28" w:rsidP="002A4F28">
      <w:pPr>
        <w:spacing w:after="0" w:line="240" w:lineRule="auto"/>
        <w:rPr>
          <w:rFonts w:ascii="Arial" w:hAnsi="Arial" w:cs="Arial"/>
          <w:sz w:val="20"/>
          <w:szCs w:val="20"/>
          <w:lang w:val="en-US"/>
        </w:rPr>
      </w:pPr>
    </w:p>
    <w:p w14:paraId="5980095B" w14:textId="77777777" w:rsidR="002A4F28" w:rsidRPr="002A4F28" w:rsidRDefault="002A4F28" w:rsidP="002A4F28">
      <w:pPr>
        <w:spacing w:after="0" w:line="240" w:lineRule="auto"/>
        <w:rPr>
          <w:rFonts w:ascii="Arial" w:hAnsi="Arial" w:cs="Arial"/>
          <w:sz w:val="20"/>
          <w:szCs w:val="20"/>
          <w:lang w:val="en-US"/>
        </w:rPr>
      </w:pPr>
      <w:r w:rsidRPr="002A4F28">
        <w:rPr>
          <w:rFonts w:ascii="Arial" w:hAnsi="Arial" w:cs="Arial"/>
          <w:b/>
          <w:sz w:val="20"/>
          <w:szCs w:val="20"/>
          <w:lang w:val="en-US"/>
        </w:rPr>
        <w:t xml:space="preserve">Address </w:t>
      </w:r>
      <w:r w:rsidRPr="002A4F28">
        <w:rPr>
          <w:rFonts w:ascii="Arial" w:hAnsi="Arial" w:cs="Arial"/>
          <w:sz w:val="20"/>
          <w:szCs w:val="20"/>
          <w:lang w:val="en-US"/>
        </w:rPr>
        <w:t>:</w:t>
      </w:r>
    </w:p>
    <w:p w14:paraId="1FF3DDEC" w14:textId="77777777" w:rsidR="002A4F28" w:rsidRPr="002A4F28" w:rsidRDefault="002A4F28" w:rsidP="002A4F28">
      <w:pPr>
        <w:spacing w:after="0" w:line="240" w:lineRule="auto"/>
        <w:rPr>
          <w:rFonts w:ascii="Arial" w:hAnsi="Arial" w:cs="Arial"/>
          <w:sz w:val="20"/>
          <w:szCs w:val="20"/>
        </w:rPr>
      </w:pPr>
      <w:r w:rsidRPr="002A4F28">
        <w:rPr>
          <w:rFonts w:ascii="Arial" w:hAnsi="Arial" w:cs="Arial"/>
          <w:sz w:val="20"/>
          <w:szCs w:val="20"/>
          <w:lang w:val="en-US"/>
        </w:rPr>
        <w:t xml:space="preserve">454080, Chelyabinsk, st. </w:t>
      </w:r>
      <w:r w:rsidRPr="002A4F28">
        <w:rPr>
          <w:rFonts w:ascii="Arial" w:hAnsi="Arial" w:cs="Arial"/>
          <w:sz w:val="20"/>
          <w:szCs w:val="20"/>
        </w:rPr>
        <w:t>Engelsa, 65, 3rd floor</w:t>
      </w:r>
    </w:p>
    <w:p w14:paraId="699575DB" w14:textId="77777777" w:rsidR="00EB55BD" w:rsidRPr="002A4F28" w:rsidRDefault="002A4F28" w:rsidP="002A4F28">
      <w:pPr>
        <w:spacing w:after="0" w:line="240" w:lineRule="auto"/>
        <w:rPr>
          <w:rFonts w:ascii="Arial" w:hAnsi="Arial" w:cs="Arial"/>
          <w:sz w:val="20"/>
          <w:szCs w:val="20"/>
        </w:rPr>
      </w:pPr>
      <w:r w:rsidRPr="002A4F28">
        <w:rPr>
          <w:rFonts w:ascii="Arial" w:hAnsi="Arial" w:cs="Arial"/>
          <w:sz w:val="20"/>
          <w:szCs w:val="20"/>
          <w:lang w:val="en-US"/>
        </w:rPr>
        <w:t xml:space="preserve">Tel . +7 951 241 52 54 ; </w:t>
      </w:r>
      <w:r>
        <w:rPr>
          <w:rFonts w:ascii="Arial" w:hAnsi="Arial" w:cs="Arial"/>
          <w:sz w:val="20"/>
          <w:szCs w:val="20"/>
        </w:rPr>
        <w:t>+7 951 117 68 61</w:t>
      </w:r>
    </w:p>
    <w:sectPr w:rsidR="00EB55BD" w:rsidRPr="002A4F28" w:rsidSect="00EB55B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C8D"/>
    <w:multiLevelType w:val="multilevel"/>
    <w:tmpl w:val="D1A8BEE4"/>
    <w:lvl w:ilvl="0">
      <w:start w:val="1"/>
      <w:numFmt w:val="decimal"/>
      <w:lvlText w:val="%1."/>
      <w:lvlJc w:val="left"/>
      <w:pPr>
        <w:ind w:left="720" w:hanging="360"/>
      </w:pPr>
      <w:rPr>
        <w:rFonts w:asciiTheme="minorHAnsi" w:eastAsiaTheme="minorHAnsi" w:hAnsiTheme="minorHAnsi" w:cstheme="minorBidi" w:hint="default"/>
        <w:b/>
        <w:color w:val="auto"/>
        <w:sz w:val="20"/>
      </w:rPr>
    </w:lvl>
    <w:lvl w:ilvl="1">
      <w:start w:val="1"/>
      <w:numFmt w:val="decimal"/>
      <w:isLgl/>
      <w:lvlText w:val="%1.%2"/>
      <w:lvlJc w:val="left"/>
      <w:pPr>
        <w:ind w:left="1185" w:hanging="465"/>
      </w:pPr>
      <w:rPr>
        <w:rFonts w:hint="default"/>
        <w:sz w:val="23"/>
      </w:rPr>
    </w:lvl>
    <w:lvl w:ilvl="2">
      <w:start w:val="1"/>
      <w:numFmt w:val="decimal"/>
      <w:isLgl/>
      <w:lvlText w:val="%1.%2.%3"/>
      <w:lvlJc w:val="left"/>
      <w:pPr>
        <w:ind w:left="1800" w:hanging="720"/>
      </w:pPr>
      <w:rPr>
        <w:rFonts w:hint="default"/>
        <w:sz w:val="23"/>
      </w:rPr>
    </w:lvl>
    <w:lvl w:ilvl="3">
      <w:start w:val="1"/>
      <w:numFmt w:val="decimal"/>
      <w:isLgl/>
      <w:lvlText w:val="%1.%2.%3.%4"/>
      <w:lvlJc w:val="left"/>
      <w:pPr>
        <w:ind w:left="2160" w:hanging="720"/>
      </w:pPr>
      <w:rPr>
        <w:rFonts w:hint="default"/>
        <w:sz w:val="23"/>
      </w:rPr>
    </w:lvl>
    <w:lvl w:ilvl="4">
      <w:start w:val="1"/>
      <w:numFmt w:val="decimal"/>
      <w:isLgl/>
      <w:lvlText w:val="%1.%2.%3.%4.%5"/>
      <w:lvlJc w:val="left"/>
      <w:pPr>
        <w:ind w:left="2880" w:hanging="1080"/>
      </w:pPr>
      <w:rPr>
        <w:rFonts w:hint="default"/>
        <w:sz w:val="23"/>
      </w:rPr>
    </w:lvl>
    <w:lvl w:ilvl="5">
      <w:start w:val="1"/>
      <w:numFmt w:val="decimal"/>
      <w:isLgl/>
      <w:lvlText w:val="%1.%2.%3.%4.%5.%6"/>
      <w:lvlJc w:val="left"/>
      <w:pPr>
        <w:ind w:left="3240" w:hanging="1080"/>
      </w:pPr>
      <w:rPr>
        <w:rFonts w:hint="default"/>
        <w:sz w:val="23"/>
      </w:rPr>
    </w:lvl>
    <w:lvl w:ilvl="6">
      <w:start w:val="1"/>
      <w:numFmt w:val="decimal"/>
      <w:isLgl/>
      <w:lvlText w:val="%1.%2.%3.%4.%5.%6.%7"/>
      <w:lvlJc w:val="left"/>
      <w:pPr>
        <w:ind w:left="3960" w:hanging="1440"/>
      </w:pPr>
      <w:rPr>
        <w:rFonts w:hint="default"/>
        <w:sz w:val="23"/>
      </w:rPr>
    </w:lvl>
    <w:lvl w:ilvl="7">
      <w:start w:val="1"/>
      <w:numFmt w:val="decimal"/>
      <w:isLgl/>
      <w:lvlText w:val="%1.%2.%3.%4.%5.%6.%7.%8"/>
      <w:lvlJc w:val="left"/>
      <w:pPr>
        <w:ind w:left="4320" w:hanging="1440"/>
      </w:pPr>
      <w:rPr>
        <w:rFonts w:hint="default"/>
        <w:sz w:val="23"/>
      </w:rPr>
    </w:lvl>
    <w:lvl w:ilvl="8">
      <w:start w:val="1"/>
      <w:numFmt w:val="decimal"/>
      <w:isLgl/>
      <w:lvlText w:val="%1.%2.%3.%4.%5.%6.%7.%8.%9"/>
      <w:lvlJc w:val="left"/>
      <w:pPr>
        <w:ind w:left="5040" w:hanging="1800"/>
      </w:pPr>
      <w:rPr>
        <w:rFonts w:hint="default"/>
        <w:sz w:val="23"/>
      </w:rPr>
    </w:lvl>
  </w:abstractNum>
  <w:abstractNum w:abstractNumId="1" w15:restartNumberingAfterBreak="0">
    <w:nsid w:val="056701EA"/>
    <w:multiLevelType w:val="multilevel"/>
    <w:tmpl w:val="D1A8BEE4"/>
    <w:lvl w:ilvl="0">
      <w:start w:val="1"/>
      <w:numFmt w:val="decimal"/>
      <w:lvlText w:val="%1."/>
      <w:lvlJc w:val="left"/>
      <w:pPr>
        <w:ind w:left="720" w:hanging="360"/>
      </w:pPr>
      <w:rPr>
        <w:rFonts w:asciiTheme="minorHAnsi" w:eastAsiaTheme="minorHAnsi" w:hAnsiTheme="minorHAnsi" w:cstheme="minorBidi" w:hint="default"/>
        <w:b/>
        <w:color w:val="auto"/>
        <w:sz w:val="20"/>
      </w:rPr>
    </w:lvl>
    <w:lvl w:ilvl="1">
      <w:start w:val="1"/>
      <w:numFmt w:val="decimal"/>
      <w:isLgl/>
      <w:lvlText w:val="%1.%2"/>
      <w:lvlJc w:val="left"/>
      <w:pPr>
        <w:ind w:left="1185" w:hanging="465"/>
      </w:pPr>
      <w:rPr>
        <w:rFonts w:hint="default"/>
        <w:sz w:val="23"/>
      </w:rPr>
    </w:lvl>
    <w:lvl w:ilvl="2">
      <w:start w:val="1"/>
      <w:numFmt w:val="decimal"/>
      <w:isLgl/>
      <w:lvlText w:val="%1.%2.%3"/>
      <w:lvlJc w:val="left"/>
      <w:pPr>
        <w:ind w:left="1800" w:hanging="720"/>
      </w:pPr>
      <w:rPr>
        <w:rFonts w:hint="default"/>
        <w:sz w:val="23"/>
      </w:rPr>
    </w:lvl>
    <w:lvl w:ilvl="3">
      <w:start w:val="1"/>
      <w:numFmt w:val="decimal"/>
      <w:isLgl/>
      <w:lvlText w:val="%1.%2.%3.%4"/>
      <w:lvlJc w:val="left"/>
      <w:pPr>
        <w:ind w:left="2160" w:hanging="720"/>
      </w:pPr>
      <w:rPr>
        <w:rFonts w:hint="default"/>
        <w:sz w:val="23"/>
      </w:rPr>
    </w:lvl>
    <w:lvl w:ilvl="4">
      <w:start w:val="1"/>
      <w:numFmt w:val="decimal"/>
      <w:isLgl/>
      <w:lvlText w:val="%1.%2.%3.%4.%5"/>
      <w:lvlJc w:val="left"/>
      <w:pPr>
        <w:ind w:left="2880" w:hanging="1080"/>
      </w:pPr>
      <w:rPr>
        <w:rFonts w:hint="default"/>
        <w:sz w:val="23"/>
      </w:rPr>
    </w:lvl>
    <w:lvl w:ilvl="5">
      <w:start w:val="1"/>
      <w:numFmt w:val="decimal"/>
      <w:isLgl/>
      <w:lvlText w:val="%1.%2.%3.%4.%5.%6"/>
      <w:lvlJc w:val="left"/>
      <w:pPr>
        <w:ind w:left="3240" w:hanging="1080"/>
      </w:pPr>
      <w:rPr>
        <w:rFonts w:hint="default"/>
        <w:sz w:val="23"/>
      </w:rPr>
    </w:lvl>
    <w:lvl w:ilvl="6">
      <w:start w:val="1"/>
      <w:numFmt w:val="decimal"/>
      <w:isLgl/>
      <w:lvlText w:val="%1.%2.%3.%4.%5.%6.%7"/>
      <w:lvlJc w:val="left"/>
      <w:pPr>
        <w:ind w:left="3960" w:hanging="1440"/>
      </w:pPr>
      <w:rPr>
        <w:rFonts w:hint="default"/>
        <w:sz w:val="23"/>
      </w:rPr>
    </w:lvl>
    <w:lvl w:ilvl="7">
      <w:start w:val="1"/>
      <w:numFmt w:val="decimal"/>
      <w:isLgl/>
      <w:lvlText w:val="%1.%2.%3.%4.%5.%6.%7.%8"/>
      <w:lvlJc w:val="left"/>
      <w:pPr>
        <w:ind w:left="4320" w:hanging="1440"/>
      </w:pPr>
      <w:rPr>
        <w:rFonts w:hint="default"/>
        <w:sz w:val="23"/>
      </w:rPr>
    </w:lvl>
    <w:lvl w:ilvl="8">
      <w:start w:val="1"/>
      <w:numFmt w:val="decimal"/>
      <w:isLgl/>
      <w:lvlText w:val="%1.%2.%3.%4.%5.%6.%7.%8.%9"/>
      <w:lvlJc w:val="left"/>
      <w:pPr>
        <w:ind w:left="5040" w:hanging="1800"/>
      </w:pPr>
      <w:rPr>
        <w:rFonts w:hint="default"/>
        <w:sz w:val="23"/>
      </w:rPr>
    </w:lvl>
  </w:abstractNum>
  <w:abstractNum w:abstractNumId="2" w15:restartNumberingAfterBreak="0">
    <w:nsid w:val="071448E4"/>
    <w:multiLevelType w:val="hybridMultilevel"/>
    <w:tmpl w:val="E414740A"/>
    <w:lvl w:ilvl="0" w:tplc="43604A5A">
      <w:start w:val="1"/>
      <w:numFmt w:val="decimal"/>
      <w:lvlText w:val="%1."/>
      <w:lvlJc w:val="left"/>
      <w:pPr>
        <w:ind w:left="720" w:hanging="360"/>
      </w:pPr>
      <w:rPr>
        <w:rFonts w:asciiTheme="minorHAnsi" w:eastAsiaTheme="minorHAnsi" w:hAnsiTheme="minorHAnsi" w:cstheme="minorBidi"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F62CF7"/>
    <w:multiLevelType w:val="multilevel"/>
    <w:tmpl w:val="3D2E853E"/>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2A54CF"/>
    <w:multiLevelType w:val="hybridMultilevel"/>
    <w:tmpl w:val="B0B466A8"/>
    <w:lvl w:ilvl="0" w:tplc="83944FFA">
      <w:start w:val="1"/>
      <w:numFmt w:val="decimal"/>
      <w:lvlText w:val="%1."/>
      <w:lvlJc w:val="left"/>
      <w:pPr>
        <w:ind w:left="720" w:hanging="360"/>
      </w:pPr>
      <w:rPr>
        <w:rFonts w:ascii="Helvetica" w:hAnsi="Helvetica" w:cs="Helvetica" w:hint="default"/>
        <w:color w:val="151515"/>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4278CA"/>
    <w:multiLevelType w:val="multilevel"/>
    <w:tmpl w:val="B1CEB1A2"/>
    <w:lvl w:ilvl="0">
      <w:start w:val="11"/>
      <w:numFmt w:val="decimal"/>
      <w:lvlText w:val="%1."/>
      <w:lvlJc w:val="left"/>
      <w:pPr>
        <w:ind w:left="480" w:hanging="480"/>
      </w:pPr>
      <w:rPr>
        <w:rFonts w:hint="default"/>
        <w:b/>
      </w:rPr>
    </w:lvl>
    <w:lvl w:ilvl="1">
      <w:start w:val="1"/>
      <w:numFmt w:val="decimal"/>
      <w:lvlText w:val="%1.%2."/>
      <w:lvlJc w:val="left"/>
      <w:pPr>
        <w:ind w:left="1665" w:hanging="480"/>
      </w:pPr>
      <w:rPr>
        <w:rFonts w:hint="default"/>
        <w:b/>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6" w15:restartNumberingAfterBreak="0">
    <w:nsid w:val="61D56DEB"/>
    <w:multiLevelType w:val="hybridMultilevel"/>
    <w:tmpl w:val="61465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11348D"/>
    <w:multiLevelType w:val="hybridMultilevel"/>
    <w:tmpl w:val="19309E3E"/>
    <w:lvl w:ilvl="0" w:tplc="D242E34A">
      <w:start w:val="1"/>
      <w:numFmt w:val="decimal"/>
      <w:lvlText w:val="%1."/>
      <w:lvlJc w:val="left"/>
      <w:pPr>
        <w:ind w:left="720" w:hanging="360"/>
      </w:pPr>
      <w:rPr>
        <w:rFonts w:ascii="Helvetica" w:eastAsia="Times New Roman" w:hAnsi="Helvetica" w:cs="Helvetica" w:hint="default"/>
        <w:color w:val="1A1A1A"/>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180D81"/>
    <w:multiLevelType w:val="hybridMultilevel"/>
    <w:tmpl w:val="C9C88DD0"/>
    <w:lvl w:ilvl="0" w:tplc="C74ADFC8">
      <w:start w:val="1"/>
      <w:numFmt w:val="decimal"/>
      <w:lvlText w:val="%1."/>
      <w:lvlJc w:val="left"/>
      <w:pPr>
        <w:ind w:left="720" w:hanging="360"/>
      </w:pPr>
      <w:rPr>
        <w:rFonts w:asciiTheme="minorHAnsi" w:eastAsiaTheme="minorHAnsi" w:hAnsiTheme="minorHAnsi" w:cstheme="minorBidi" w:hint="default"/>
        <w:b/>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2"/>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16"/>
    <w:rsid w:val="000B07AC"/>
    <w:rsid w:val="000C7F2E"/>
    <w:rsid w:val="000F3993"/>
    <w:rsid w:val="00152A74"/>
    <w:rsid w:val="00270E16"/>
    <w:rsid w:val="002A4F28"/>
    <w:rsid w:val="002B5182"/>
    <w:rsid w:val="0035245C"/>
    <w:rsid w:val="003C459B"/>
    <w:rsid w:val="00434AAC"/>
    <w:rsid w:val="004A608E"/>
    <w:rsid w:val="00673EC4"/>
    <w:rsid w:val="007B1ADB"/>
    <w:rsid w:val="00832912"/>
    <w:rsid w:val="00840005"/>
    <w:rsid w:val="008A4D5E"/>
    <w:rsid w:val="009709B3"/>
    <w:rsid w:val="009B719D"/>
    <w:rsid w:val="009C0A0A"/>
    <w:rsid w:val="00A4098F"/>
    <w:rsid w:val="00A61A87"/>
    <w:rsid w:val="00AF69D5"/>
    <w:rsid w:val="00AF6F1D"/>
    <w:rsid w:val="00CD76CB"/>
    <w:rsid w:val="00DB357C"/>
    <w:rsid w:val="00EB55BD"/>
    <w:rsid w:val="00F979AA"/>
    <w:rsid w:val="00FD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E0ED"/>
  <w15:chartTrackingRefBased/>
  <w15:docId w15:val="{41C4D9A9-CAB6-4DC7-B0D7-B279F020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73E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59B"/>
    <w:rPr>
      <w:color w:val="0000FF"/>
      <w:u w:val="single"/>
    </w:rPr>
  </w:style>
  <w:style w:type="paragraph" w:styleId="a4">
    <w:name w:val="List Paragraph"/>
    <w:basedOn w:val="a"/>
    <w:link w:val="a5"/>
    <w:uiPriority w:val="34"/>
    <w:qFormat/>
    <w:rsid w:val="003C459B"/>
    <w:pPr>
      <w:ind w:left="720"/>
      <w:contextualSpacing/>
    </w:pPr>
  </w:style>
  <w:style w:type="character" w:customStyle="1" w:styleId="10">
    <w:name w:val="Заголовок 1 Знак"/>
    <w:basedOn w:val="a0"/>
    <w:link w:val="1"/>
    <w:uiPriority w:val="9"/>
    <w:rsid w:val="00673EC4"/>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7B1AD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B1ADB"/>
    <w:rPr>
      <w:rFonts w:ascii="Segoe UI" w:hAnsi="Segoe UI" w:cs="Segoe UI"/>
      <w:sz w:val="18"/>
      <w:szCs w:val="18"/>
    </w:rPr>
  </w:style>
  <w:style w:type="character" w:customStyle="1" w:styleId="a5">
    <w:name w:val="Абзац списка Знак"/>
    <w:link w:val="a4"/>
    <w:uiPriority w:val="34"/>
    <w:locked/>
    <w:rsid w:val="00EB55BD"/>
  </w:style>
  <w:style w:type="character" w:customStyle="1" w:styleId="2">
    <w:name w:val="Стиль2"/>
    <w:basedOn w:val="a0"/>
    <w:uiPriority w:val="1"/>
    <w:rsid w:val="00EB55BD"/>
    <w:rPr>
      <w:rFonts w:ascii="Times New Roman" w:hAnsi="Times New Roman"/>
      <w:sz w:val="24"/>
    </w:rPr>
  </w:style>
  <w:style w:type="paragraph" w:customStyle="1" w:styleId="Default">
    <w:name w:val="Default"/>
    <w:rsid w:val="00EB55BD"/>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annotation reference"/>
    <w:basedOn w:val="a0"/>
    <w:uiPriority w:val="99"/>
    <w:semiHidden/>
    <w:unhideWhenUsed/>
    <w:rsid w:val="00EB55BD"/>
    <w:rPr>
      <w:sz w:val="16"/>
      <w:szCs w:val="16"/>
    </w:rPr>
  </w:style>
  <w:style w:type="character" w:styleId="a9">
    <w:name w:val="FollowedHyperlink"/>
    <w:basedOn w:val="a0"/>
    <w:uiPriority w:val="99"/>
    <w:semiHidden/>
    <w:unhideWhenUsed/>
    <w:rsid w:val="002A4F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4094">
      <w:bodyDiv w:val="1"/>
      <w:marLeft w:val="0"/>
      <w:marRight w:val="0"/>
      <w:marTop w:val="0"/>
      <w:marBottom w:val="0"/>
      <w:divBdr>
        <w:top w:val="none" w:sz="0" w:space="0" w:color="auto"/>
        <w:left w:val="none" w:sz="0" w:space="0" w:color="auto"/>
        <w:bottom w:val="none" w:sz="0" w:space="0" w:color="auto"/>
        <w:right w:val="none" w:sz="0" w:space="0" w:color="auto"/>
      </w:divBdr>
    </w:div>
    <w:div w:id="456459526">
      <w:bodyDiv w:val="1"/>
      <w:marLeft w:val="0"/>
      <w:marRight w:val="0"/>
      <w:marTop w:val="0"/>
      <w:marBottom w:val="0"/>
      <w:divBdr>
        <w:top w:val="none" w:sz="0" w:space="0" w:color="auto"/>
        <w:left w:val="none" w:sz="0" w:space="0" w:color="auto"/>
        <w:bottom w:val="none" w:sz="0" w:space="0" w:color="auto"/>
        <w:right w:val="none" w:sz="0" w:space="0" w:color="auto"/>
      </w:divBdr>
    </w:div>
    <w:div w:id="722144797">
      <w:bodyDiv w:val="1"/>
      <w:marLeft w:val="0"/>
      <w:marRight w:val="0"/>
      <w:marTop w:val="0"/>
      <w:marBottom w:val="0"/>
      <w:divBdr>
        <w:top w:val="none" w:sz="0" w:space="0" w:color="auto"/>
        <w:left w:val="none" w:sz="0" w:space="0" w:color="auto"/>
        <w:bottom w:val="none" w:sz="0" w:space="0" w:color="auto"/>
        <w:right w:val="none" w:sz="0" w:space="0" w:color="auto"/>
      </w:divBdr>
    </w:div>
    <w:div w:id="800267125">
      <w:bodyDiv w:val="1"/>
      <w:marLeft w:val="0"/>
      <w:marRight w:val="0"/>
      <w:marTop w:val="0"/>
      <w:marBottom w:val="0"/>
      <w:divBdr>
        <w:top w:val="none" w:sz="0" w:space="0" w:color="auto"/>
        <w:left w:val="none" w:sz="0" w:space="0" w:color="auto"/>
        <w:bottom w:val="none" w:sz="0" w:space="0" w:color="auto"/>
        <w:right w:val="none" w:sz="0" w:space="0" w:color="auto"/>
      </w:divBdr>
      <w:divsChild>
        <w:div w:id="2102797956">
          <w:marLeft w:val="0"/>
          <w:marRight w:val="0"/>
          <w:marTop w:val="0"/>
          <w:marBottom w:val="0"/>
          <w:divBdr>
            <w:top w:val="none" w:sz="0" w:space="0" w:color="auto"/>
            <w:left w:val="none" w:sz="0" w:space="0" w:color="auto"/>
            <w:bottom w:val="none" w:sz="0" w:space="0" w:color="auto"/>
            <w:right w:val="none" w:sz="0" w:space="0" w:color="auto"/>
          </w:divBdr>
        </w:div>
      </w:divsChild>
    </w:div>
    <w:div w:id="1097866916">
      <w:bodyDiv w:val="1"/>
      <w:marLeft w:val="0"/>
      <w:marRight w:val="0"/>
      <w:marTop w:val="0"/>
      <w:marBottom w:val="0"/>
      <w:divBdr>
        <w:top w:val="none" w:sz="0" w:space="0" w:color="auto"/>
        <w:left w:val="none" w:sz="0" w:space="0" w:color="auto"/>
        <w:bottom w:val="none" w:sz="0" w:space="0" w:color="auto"/>
        <w:right w:val="none" w:sz="0" w:space="0" w:color="auto"/>
      </w:divBdr>
    </w:div>
    <w:div w:id="1101099818">
      <w:bodyDiv w:val="1"/>
      <w:marLeft w:val="0"/>
      <w:marRight w:val="0"/>
      <w:marTop w:val="0"/>
      <w:marBottom w:val="0"/>
      <w:divBdr>
        <w:top w:val="none" w:sz="0" w:space="0" w:color="auto"/>
        <w:left w:val="none" w:sz="0" w:space="0" w:color="auto"/>
        <w:bottom w:val="none" w:sz="0" w:space="0" w:color="auto"/>
        <w:right w:val="none" w:sz="0" w:space="0" w:color="auto"/>
      </w:divBdr>
    </w:div>
    <w:div w:id="1283918882">
      <w:bodyDiv w:val="1"/>
      <w:marLeft w:val="0"/>
      <w:marRight w:val="0"/>
      <w:marTop w:val="0"/>
      <w:marBottom w:val="0"/>
      <w:divBdr>
        <w:top w:val="none" w:sz="0" w:space="0" w:color="auto"/>
        <w:left w:val="none" w:sz="0" w:space="0" w:color="auto"/>
        <w:bottom w:val="none" w:sz="0" w:space="0" w:color="auto"/>
        <w:right w:val="none" w:sz="0" w:space="0" w:color="auto"/>
      </w:divBdr>
    </w:div>
    <w:div w:id="1865099097">
      <w:bodyDiv w:val="1"/>
      <w:marLeft w:val="0"/>
      <w:marRight w:val="0"/>
      <w:marTop w:val="0"/>
      <w:marBottom w:val="0"/>
      <w:divBdr>
        <w:top w:val="none" w:sz="0" w:space="0" w:color="auto"/>
        <w:left w:val="none" w:sz="0" w:space="0" w:color="auto"/>
        <w:bottom w:val="none" w:sz="0" w:space="0" w:color="auto"/>
        <w:right w:val="none" w:sz="0" w:space="0" w:color="auto"/>
      </w:divBdr>
    </w:div>
    <w:div w:id="18828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leeva.maria@ibc74.ru" TargetMode="External"/><Relationship Id="rId3" Type="http://schemas.openxmlformats.org/officeDocument/2006/relationships/settings" Target="settings.xml"/><Relationship Id="rId7" Type="http://schemas.openxmlformats.org/officeDocument/2006/relationships/hyperlink" Target="tel:870716558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ws.asia/" TargetMode="External"/><Relationship Id="rId5" Type="http://schemas.openxmlformats.org/officeDocument/2006/relationships/hyperlink" Target="https://caws.asi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Сосновских Ольга Сергеевна</dc:creator>
  <cp:keywords/>
  <dc:description/>
  <cp:lastModifiedBy>Kuznetsova Alisa</cp:lastModifiedBy>
  <cp:revision>2</cp:revision>
  <cp:lastPrinted>2024-02-28T13:28:00Z</cp:lastPrinted>
  <dcterms:created xsi:type="dcterms:W3CDTF">2025-04-22T08:49:00Z</dcterms:created>
  <dcterms:modified xsi:type="dcterms:W3CDTF">2025-04-22T08:49:00Z</dcterms:modified>
</cp:coreProperties>
</file>